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89809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Департамент Образования Администрации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естественно-научного↵цикла↵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Шумляковская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Лесных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1244345)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898090" w:id="5"/>
    <w:p>
      <w:pPr>
        <w:sectPr>
          <w:pgSz w:w="11906" w:h="16383" w:orient="portrait"/>
        </w:sectPr>
      </w:pPr>
    </w:p>
    <w:bookmarkEnd w:id="5"/>
    <w:bookmarkEnd w:id="0"/>
    <w:bookmarkStart w:name="block-8898091"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8898091" w:id="8"/>
    <w:p>
      <w:pPr>
        <w:sectPr>
          <w:pgSz w:w="11906" w:h="16383" w:orient="portrait"/>
        </w:sectPr>
      </w:pPr>
    </w:p>
    <w:bookmarkEnd w:id="8"/>
    <w:bookmarkEnd w:id="6"/>
    <w:bookmarkStart w:name="block-889809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8898092" w:id="10"/>
    <w:p>
      <w:pPr>
        <w:sectPr>
          <w:pgSz w:w="11906" w:h="16383" w:orient="portrait"/>
        </w:sectPr>
      </w:pPr>
    </w:p>
    <w:bookmarkEnd w:id="10"/>
    <w:bookmarkEnd w:id="9"/>
    <w:bookmarkStart w:name="block-8898093"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8898093" w:id="12"/>
    <w:p>
      <w:pPr>
        <w:sectPr>
          <w:pgSz w:w="11906" w:h="16383" w:orient="portrait"/>
        </w:sectPr>
      </w:pPr>
    </w:p>
    <w:bookmarkEnd w:id="12"/>
    <w:bookmarkEnd w:id="11"/>
    <w:bookmarkStart w:name="block-8898094"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8898094" w:id="14"/>
    <w:p>
      <w:pPr>
        <w:sectPr>
          <w:pgSz w:w="16383" w:h="11906" w:orient="landscape"/>
        </w:sectPr>
      </w:pPr>
    </w:p>
    <w:bookmarkEnd w:id="14"/>
    <w:bookmarkEnd w:id="13"/>
    <w:bookmarkStart w:name="block-8898095"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34"/>
        <w:gridCol w:w="3200"/>
        <w:gridCol w:w="1695"/>
        <w:gridCol w:w="2775"/>
        <w:gridCol w:w="2875"/>
        <w:gridCol w:w="2215"/>
      </w:tblGrid>
      <w:tr>
        <w:trPr>
          <w:trHeight w:val="300" w:hRule="atLeast"/>
          <w:trHeight w:val="144" w:hRule="atLeast"/>
        </w:trPr>
        <w:tc>
          <w:tcPr>
            <w:tcW w:w="5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5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r>
      <w:tr>
        <w:trPr>
          <w:trHeight w:val="136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r>
      <w:tr>
        <w:trPr>
          <w:trHeight w:val="300"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алканов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r>
      <w:tr>
        <w:trPr>
          <w:trHeight w:val="300"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 номенклатура.</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r>
      <w:tr>
        <w:trPr>
          <w:trHeight w:val="163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 Этилен и пропилен — простейшие представители алкенов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r>
      <w:tr>
        <w:trPr>
          <w:trHeight w:val="55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алкенов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r>
      <w:tr>
        <w:trPr>
          <w:trHeight w:val="160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r>
      <w:tr>
        <w:trPr>
          <w:trHeight w:val="136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r>
      <w:tr>
        <w:trPr>
          <w:trHeight w:val="217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r>
      <w:tr>
        <w:trPr>
          <w:trHeight w:val="82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r>
      <w:tr>
        <w:trPr>
          <w:trHeight w:val="136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его переработка. Вычисления по уравнению химической реакции</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r>
      <w:tr>
        <w:trPr>
          <w:trHeight w:val="55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r>
      <w:tr>
        <w:trPr>
          <w:trHeight w:val="55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 об углеводородах</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r>
      <w:tr>
        <w:trPr>
          <w:trHeight w:val="82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r>
      <w:tr>
        <w:trPr>
          <w:trHeight w:val="82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r>
      <w:tr>
        <w:trPr>
          <w:trHeight w:val="136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r>
      <w:tr>
        <w:trPr>
          <w:trHeight w:val="121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Отдельные представители высших карбоновых кислот</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r>
      <w:tr>
        <w:trPr>
          <w:trHeight w:val="55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Мыла. Жиры.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r>
      <w:tr>
        <w:trPr>
          <w:trHeight w:val="163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моносахаридов: глюкоза, фруктоза.</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r>
      <w:tr>
        <w:trPr>
          <w:trHeight w:val="300"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r>
      <w:tr>
        <w:trPr>
          <w:trHeight w:val="82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r>
      <w:tr>
        <w:trPr>
          <w:trHeight w:val="55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r>
      <w:tr>
        <w:trPr>
          <w:trHeight w:val="163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r>
      <w:tr>
        <w:trPr>
          <w:trHeight w:val="82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органических соединений</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r>
      <w:tr>
        <w:trPr>
          <w:trHeight w:val="136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r>
      <w:tr>
        <w:trPr>
          <w:trHeight w:val="109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r>
      <w:tr>
        <w:trPr>
          <w:trHeight w:val="1635" w:hRule="atLeast"/>
          <w:trHeight w:val="144" w:hRule="atLeast"/>
        </w:trPr>
        <w:tc>
          <w:tcPr>
            <w:tcW w:w="5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11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42" w:type="dxa"/>
            <w:tcBorders/>
            <w:tcMar>
              <w:top w:w="50" w:type="dxa"/>
              <w:left w:w="100" w:type="dxa"/>
            </w:tcMar>
            <w:vAlign w:val="center"/>
          </w:tcPr>
          <w:p>
            <w:pPr>
              <w:spacing w:before="0" w:after="0" w:line="276"/>
              <w:ind w:left="135"/>
              <w:jc w:val="center"/>
            </w:pPr>
          </w:p>
        </w:tc>
        <w:tc>
          <w:tcPr>
            <w:tcW w:w="2012"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9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64"/>
        <w:gridCol w:w="3760"/>
        <w:gridCol w:w="1575"/>
        <w:gridCol w:w="2635"/>
        <w:gridCol w:w="2745"/>
        <w:gridCol w:w="2115"/>
      </w:tblGrid>
      <w:tr>
        <w:trPr>
          <w:trHeight w:val="300" w:hRule="atLeast"/>
          <w:trHeight w:val="144" w:hRule="atLeast"/>
        </w:trPr>
        <w:tc>
          <w:tcPr>
            <w:tcW w:w="5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r>
      <w:tr>
        <w:trPr>
          <w:trHeight w:val="271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и ионная связи. Механизмы образования ковалентной связи.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Металлическая и водородная связи.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кристаллических решёток. Валентность. Электроотрицательность. Степень окисления. Вещества молекулярного и немолекулярного строения</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 – восстановительные реакции.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уравнений ОВР</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r>
      <w:tr>
        <w:trPr>
          <w:trHeight w:val="99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r>
      <w:tr>
        <w:trPr>
          <w:trHeight w:val="30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реакции. Химическое равновесие</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неорганических веществ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органических веществ.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r>
      <w:tr>
        <w:trPr>
          <w:trHeight w:val="30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Электролизе расплавов.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r>
      <w:tr>
        <w:trPr>
          <w:trHeight w:val="30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 по теме "Химические реакции".</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r>
      <w:tr>
        <w:trPr>
          <w:trHeight w:val="271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 Сплавы металлов. Электрохимический ряд напряжений металлов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цинка, железа и их соединений</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r>
      <w:tr>
        <w:trPr>
          <w:trHeight w:val="13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неметаллов. Аллотропия.</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и применение неметаллов.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неорганических веществ, различных классов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 Химия и здоровье человека</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 Человек в мире веществ и материалов</w:t>
            </w:r>
          </w:p>
        </w:tc>
        <w:tc>
          <w:tcPr>
            <w:tcW w:w="1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14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80" w:type="dxa"/>
            <w:tcBorders/>
            <w:tcMar>
              <w:top w:w="50" w:type="dxa"/>
              <w:left w:w="100" w:type="dxa"/>
            </w:tcMar>
            <w:vAlign w:val="center"/>
          </w:tcPr>
          <w:p>
            <w:pPr>
              <w:jc w:val="left"/>
            </w:pPr>
          </w:p>
        </w:tc>
      </w:tr>
    </w:tbl>
    <w:p>
      <w:pPr>
        <w:sectPr>
          <w:pgSz w:w="16383" w:h="11906" w:orient="landscape"/>
        </w:sectPr>
      </w:pPr>
    </w:p>
    <w:bookmarkStart w:name="block-8898095" w:id="16"/>
    <w:p>
      <w:pPr>
        <w:sectPr>
          <w:pgSz w:w="16383" w:h="11906" w:orient="landscape"/>
        </w:sectPr>
      </w:pPr>
    </w:p>
    <w:bookmarkEnd w:id="16"/>
    <w:bookmarkEnd w:id="15"/>
    <w:bookmarkStart w:name="block-8898096"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Габриелян О.С., Остроумов И.Г., Сладков С.А.,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Габриелян О.С., Остроумов И.Г., Сладков С.А.,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0"/>
      <w:r>
        <w:rPr>
          <w:rFonts w:ascii="Times New Roman" w:hAnsi="Times New Roman"/>
          <w:b w:val="false"/>
          <w:i w:val="false"/>
          <w:color w:val="000000"/>
          <w:sz w:val="28"/>
        </w:rPr>
        <w:t>Методическое пособие для учителя</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1"/>
      <w:r>
        <w:rPr>
          <w:rFonts w:ascii="Times New Roman" w:hAnsi="Times New Roman"/>
          <w:b w:val="false"/>
          <w:i w:val="false"/>
          <w:color w:val="000000"/>
          <w:sz w:val="28"/>
        </w:rPr>
        <w:t>https://resh.edu.ru/subject/29/8/</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898096" w:id="22"/>
    <w:p>
      <w:pPr>
        <w:sectPr>
          <w:pgSz w:w="11906" w:h="16383" w:orient="portrait"/>
        </w:sectPr>
      </w:pPr>
    </w:p>
    <w:bookmarkEnd w:id="22"/>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